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830" w:rsidRPr="00131851" w:rsidRDefault="00486830" w:rsidP="00486830">
      <w:pPr>
        <w:pStyle w:val="Default"/>
        <w:spacing w:after="140" w:line="480" w:lineRule="auto"/>
        <w:ind w:left="480" w:hanging="480"/>
        <w:rPr>
          <w:rFonts w:ascii="Times New Roman" w:eastAsia="Times New Roman" w:hAnsi="Times New Roman" w:cs="Times New Roman"/>
          <w:b/>
          <w:bCs/>
          <w:sz w:val="20"/>
          <w:szCs w:val="24"/>
        </w:rPr>
      </w:pPr>
      <w:r w:rsidRPr="00131851">
        <w:rPr>
          <w:rFonts w:ascii="Times New Roman" w:hAnsi="Times New Roman"/>
          <w:b/>
          <w:bCs/>
          <w:sz w:val="20"/>
          <w:szCs w:val="24"/>
        </w:rPr>
        <w:t>SUPPLEMENTARY FIGURE CAPTIONS</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t xml:space="preserve">Figure S1: </w:t>
      </w:r>
      <w:r w:rsidRPr="00131851">
        <w:rPr>
          <w:rFonts w:ascii="Times New Roman" w:hAnsi="Times New Roman"/>
          <w:sz w:val="20"/>
          <w:szCs w:val="24"/>
        </w:rPr>
        <w:t>The number of recruits per pot in the initial growth experiment at harvest is shown for each sediment shape treatment.  The initial input of 350 seeds is shown for reference as a dashed line near the top of the figure. Recruitment varied significantly between sediment treatments, likely as a consequence of variation between treatments in the physical removal of seeds by the tides (F</w:t>
      </w:r>
      <w:r w:rsidRPr="00131851">
        <w:rPr>
          <w:rFonts w:ascii="Times New Roman" w:hAnsi="Times New Roman"/>
          <w:b/>
          <w:bCs/>
          <w:sz w:val="20"/>
          <w:szCs w:val="24"/>
          <w:vertAlign w:val="subscript"/>
        </w:rPr>
        <w:t>2</w:t>
      </w:r>
      <w:proofErr w:type="gramStart"/>
      <w:r w:rsidRPr="00131851">
        <w:rPr>
          <w:rFonts w:ascii="Times New Roman" w:hAnsi="Times New Roman"/>
          <w:b/>
          <w:bCs/>
          <w:sz w:val="20"/>
          <w:szCs w:val="24"/>
          <w:vertAlign w:val="subscript"/>
        </w:rPr>
        <w:t>,123</w:t>
      </w:r>
      <w:proofErr w:type="gramEnd"/>
      <w:r w:rsidRPr="00131851">
        <w:rPr>
          <w:rFonts w:ascii="Times New Roman" w:hAnsi="Times New Roman"/>
          <w:sz w:val="20"/>
          <w:szCs w:val="24"/>
        </w:rPr>
        <w:t xml:space="preserve"> = 30.64, n = 42, p &lt; 0.001). Seeds rested on the surface of the sediment and were not buried due to the negative germination response of this species even to shallow burial (~ 0.5 cm).</w:t>
      </w:r>
    </w:p>
    <w:p w:rsidR="00486830" w:rsidRPr="00131851" w:rsidRDefault="00486830" w:rsidP="00486830">
      <w:pPr>
        <w:pStyle w:val="Default"/>
        <w:spacing w:after="140" w:line="480" w:lineRule="auto"/>
        <w:ind w:left="480" w:hanging="480"/>
        <w:rPr>
          <w:rFonts w:ascii="Times New Roman" w:eastAsia="Times New Roman" w:hAnsi="Times New Roman" w:cs="Times New Roman"/>
          <w:b/>
          <w:bCs/>
          <w:sz w:val="20"/>
          <w:szCs w:val="24"/>
        </w:rPr>
      </w:pPr>
      <w:r w:rsidRPr="00131851">
        <w:rPr>
          <w:rFonts w:ascii="Times New Roman" w:hAnsi="Times New Roman"/>
          <w:b/>
          <w:bCs/>
          <w:sz w:val="20"/>
          <w:szCs w:val="24"/>
        </w:rPr>
        <w:t xml:space="preserve">Figure S2: </w:t>
      </w:r>
      <w:r w:rsidRPr="00131851">
        <w:rPr>
          <w:rFonts w:ascii="Times New Roman" w:hAnsi="Times New Roman"/>
          <w:sz w:val="20"/>
          <w:szCs w:val="24"/>
        </w:rPr>
        <w:t xml:space="preserve">The time series analysis of </w:t>
      </w:r>
      <w:r w:rsidRPr="00131851">
        <w:rPr>
          <w:rFonts w:ascii="Times New Roman" w:hAnsi="Times New Roman"/>
          <w:i/>
          <w:iCs/>
          <w:sz w:val="20"/>
          <w:szCs w:val="24"/>
        </w:rPr>
        <w:t xml:space="preserve">S. </w:t>
      </w:r>
      <w:proofErr w:type="spellStart"/>
      <w:r w:rsidRPr="00131851">
        <w:rPr>
          <w:rFonts w:ascii="Times New Roman" w:hAnsi="Times New Roman"/>
          <w:i/>
          <w:iCs/>
          <w:sz w:val="20"/>
          <w:szCs w:val="24"/>
        </w:rPr>
        <w:t>procumbens</w:t>
      </w:r>
      <w:proofErr w:type="spellEnd"/>
      <w:r w:rsidRPr="00131851">
        <w:rPr>
          <w:rFonts w:ascii="Times New Roman" w:hAnsi="Times New Roman"/>
          <w:i/>
          <w:iCs/>
          <w:sz w:val="20"/>
          <w:szCs w:val="24"/>
        </w:rPr>
        <w:t xml:space="preserve"> </w:t>
      </w:r>
      <w:r w:rsidRPr="00131851">
        <w:rPr>
          <w:rFonts w:ascii="Times New Roman" w:hAnsi="Times New Roman"/>
          <w:sz w:val="20"/>
          <w:szCs w:val="24"/>
        </w:rPr>
        <w:t>growth was performed using photographs of individuals taken periodically as shown here. Sediment topology in the square pots were altered by ± 1 cm to produce lowered, flat, and raised sediment surface treatments.  Each pot contained a single individual seedling.</w:t>
      </w:r>
    </w:p>
    <w:p w:rsidR="00486830" w:rsidRPr="00131851" w:rsidRDefault="00486830" w:rsidP="00486830">
      <w:pPr>
        <w:pStyle w:val="Default"/>
        <w:spacing w:after="140" w:line="480" w:lineRule="auto"/>
        <w:ind w:left="480" w:hanging="480"/>
        <w:rPr>
          <w:rFonts w:ascii="Times New Roman" w:eastAsia="Times New Roman" w:hAnsi="Times New Roman" w:cs="Times New Roman"/>
          <w:b/>
          <w:bCs/>
          <w:sz w:val="20"/>
          <w:szCs w:val="24"/>
        </w:rPr>
      </w:pPr>
      <w:r w:rsidRPr="00131851">
        <w:rPr>
          <w:rFonts w:ascii="Times New Roman" w:hAnsi="Times New Roman"/>
          <w:b/>
          <w:bCs/>
          <w:sz w:val="20"/>
          <w:szCs w:val="24"/>
        </w:rPr>
        <w:t xml:space="preserve">Figure S3: </w:t>
      </w:r>
      <w:r w:rsidRPr="00131851">
        <w:rPr>
          <w:rFonts w:ascii="Times New Roman" w:hAnsi="Times New Roman"/>
          <w:i/>
          <w:iCs/>
          <w:sz w:val="20"/>
          <w:szCs w:val="24"/>
        </w:rPr>
        <w:t xml:space="preserve">S. </w:t>
      </w:r>
      <w:proofErr w:type="spellStart"/>
      <w:r w:rsidRPr="00131851">
        <w:rPr>
          <w:rFonts w:ascii="Times New Roman" w:hAnsi="Times New Roman"/>
          <w:i/>
          <w:iCs/>
          <w:sz w:val="20"/>
          <w:szCs w:val="24"/>
        </w:rPr>
        <w:t>procumbens</w:t>
      </w:r>
      <w:proofErr w:type="spellEnd"/>
      <w:r w:rsidRPr="00131851">
        <w:rPr>
          <w:rFonts w:ascii="Times New Roman" w:hAnsi="Times New Roman"/>
          <w:i/>
          <w:iCs/>
          <w:sz w:val="20"/>
          <w:szCs w:val="24"/>
        </w:rPr>
        <w:t xml:space="preserve"> </w:t>
      </w:r>
      <w:r w:rsidRPr="00131851">
        <w:rPr>
          <w:rFonts w:ascii="Times New Roman" w:hAnsi="Times New Roman"/>
          <w:sz w:val="20"/>
          <w:szCs w:val="24"/>
        </w:rPr>
        <w:t>recruits from the initial growth trial against a high-contrast red base board in preparation for photo quantification of the total aboveground planform area.  On the right is the photo result after binary plant classification.  Black pixels represent area occupied by a plant.</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t xml:space="preserve">Figure S4: </w:t>
      </w:r>
      <w:r w:rsidRPr="00131851">
        <w:rPr>
          <w:rFonts w:ascii="Times New Roman" w:hAnsi="Times New Roman"/>
          <w:sz w:val="20"/>
          <w:szCs w:val="24"/>
        </w:rPr>
        <w:t xml:space="preserve">The calibration curve used to calculate </w:t>
      </w:r>
      <w:r w:rsidRPr="00131851">
        <w:rPr>
          <w:rFonts w:ascii="Times New Roman" w:hAnsi="Times New Roman"/>
          <w:i/>
          <w:iCs/>
          <w:sz w:val="20"/>
          <w:szCs w:val="24"/>
        </w:rPr>
        <w:t xml:space="preserve">S. </w:t>
      </w:r>
      <w:proofErr w:type="spellStart"/>
      <w:r w:rsidRPr="00131851">
        <w:rPr>
          <w:rFonts w:ascii="Times New Roman" w:hAnsi="Times New Roman"/>
          <w:i/>
          <w:iCs/>
          <w:sz w:val="20"/>
          <w:szCs w:val="24"/>
        </w:rPr>
        <w:t>procumbens</w:t>
      </w:r>
      <w:proofErr w:type="spellEnd"/>
      <w:r w:rsidRPr="00131851">
        <w:rPr>
          <w:rFonts w:ascii="Times New Roman" w:hAnsi="Times New Roman"/>
          <w:sz w:val="20"/>
          <w:szCs w:val="24"/>
        </w:rPr>
        <w:t xml:space="preserve"> aboveground dry biomass based on the platform area of individuals taken from photographs. The rotational symmetry of </w:t>
      </w:r>
      <w:r w:rsidRPr="00131851">
        <w:rPr>
          <w:rFonts w:ascii="Times New Roman" w:hAnsi="Times New Roman"/>
          <w:i/>
          <w:iCs/>
          <w:sz w:val="20"/>
          <w:szCs w:val="24"/>
        </w:rPr>
        <w:t xml:space="preserve">S. </w:t>
      </w:r>
      <w:proofErr w:type="spellStart"/>
      <w:r w:rsidRPr="00131851">
        <w:rPr>
          <w:rFonts w:ascii="Times New Roman" w:hAnsi="Times New Roman"/>
          <w:i/>
          <w:iCs/>
          <w:sz w:val="20"/>
          <w:szCs w:val="24"/>
        </w:rPr>
        <w:t>procumbens</w:t>
      </w:r>
      <w:proofErr w:type="spellEnd"/>
      <w:r w:rsidRPr="00131851">
        <w:rPr>
          <w:rFonts w:ascii="Times New Roman" w:hAnsi="Times New Roman"/>
          <w:i/>
          <w:iCs/>
          <w:sz w:val="20"/>
          <w:szCs w:val="24"/>
        </w:rPr>
        <w:t xml:space="preserve"> </w:t>
      </w:r>
      <w:r w:rsidRPr="00131851">
        <w:rPr>
          <w:rFonts w:ascii="Times New Roman" w:hAnsi="Times New Roman"/>
          <w:sz w:val="20"/>
          <w:szCs w:val="24"/>
        </w:rPr>
        <w:t>recruits makes the species a particularly effective subject for this approach (R</w:t>
      </w:r>
      <w:r w:rsidRPr="00131851">
        <w:rPr>
          <w:rFonts w:ascii="Times New Roman" w:hAnsi="Times New Roman"/>
          <w:sz w:val="20"/>
          <w:szCs w:val="24"/>
          <w:vertAlign w:val="superscript"/>
        </w:rPr>
        <w:t xml:space="preserve">2 </w:t>
      </w:r>
      <w:r w:rsidRPr="00131851">
        <w:rPr>
          <w:rFonts w:ascii="Times New Roman" w:hAnsi="Times New Roman"/>
          <w:sz w:val="20"/>
          <w:szCs w:val="24"/>
        </w:rPr>
        <w:t>= 0.963, n = 126, p &lt; 0.001).</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t>Figure S5:</w:t>
      </w:r>
      <w:r w:rsidRPr="00131851">
        <w:rPr>
          <w:rFonts w:ascii="Times New Roman" w:hAnsi="Times New Roman"/>
          <w:sz w:val="20"/>
          <w:szCs w:val="24"/>
        </w:rPr>
        <w:t xml:space="preserve"> A snapshot of the image generated by the planar </w:t>
      </w:r>
      <w:proofErr w:type="spellStart"/>
      <w:r w:rsidRPr="00131851">
        <w:rPr>
          <w:rFonts w:ascii="Times New Roman" w:hAnsi="Times New Roman"/>
          <w:sz w:val="20"/>
          <w:szCs w:val="24"/>
        </w:rPr>
        <w:t>optode</w:t>
      </w:r>
      <w:proofErr w:type="spellEnd"/>
      <w:r w:rsidRPr="00131851">
        <w:rPr>
          <w:rFonts w:ascii="Times New Roman" w:hAnsi="Times New Roman"/>
          <w:sz w:val="20"/>
          <w:szCs w:val="24"/>
        </w:rPr>
        <w:t xml:space="preserve"> experiment. For each image in the time series, every pixel in a row was averaged together to calculate </w:t>
      </w:r>
      <w:proofErr w:type="gramStart"/>
      <w:r w:rsidRPr="00131851">
        <w:rPr>
          <w:rFonts w:ascii="Times New Roman" w:hAnsi="Times New Roman"/>
          <w:sz w:val="20"/>
          <w:szCs w:val="24"/>
        </w:rPr>
        <w:t>an average</w:t>
      </w:r>
      <w:proofErr w:type="gramEnd"/>
      <w:r w:rsidRPr="00131851">
        <w:rPr>
          <w:rFonts w:ascii="Times New Roman" w:hAnsi="Times New Roman"/>
          <w:sz w:val="20"/>
          <w:szCs w:val="24"/>
        </w:rPr>
        <w:t xml:space="preserve"> oxygen saturation value at each depth in the sediment profile.  In total a depth profile of 6.24 cm could be sampled at a resolution of 0.0106 cm.</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t>Figure S6:</w:t>
      </w:r>
      <w:r w:rsidRPr="00131851">
        <w:rPr>
          <w:rFonts w:ascii="Times New Roman" w:hAnsi="Times New Roman"/>
          <w:sz w:val="20"/>
          <w:szCs w:val="24"/>
        </w:rPr>
        <w:t xml:space="preserve"> The lower panels show various methods for quantification of episodic oxygenation events, contrasted between sediment shape treatments.  The top panel displays three characteristic oxygen signals over the tidal cycle.  Colors correspond with the three sediment shape treatments. </w:t>
      </w:r>
      <w:proofErr w:type="gramStart"/>
      <w:r w:rsidRPr="00131851">
        <w:rPr>
          <w:rFonts w:ascii="Times New Roman" w:hAnsi="Times New Roman"/>
          <w:sz w:val="20"/>
          <w:szCs w:val="24"/>
        </w:rPr>
        <w:t xml:space="preserve">(I) Oxygen profile patterns characterized by the ‘oxygen decline rate’ (see </w:t>
      </w:r>
      <w:r w:rsidRPr="00131851">
        <w:rPr>
          <w:rFonts w:ascii="Times New Roman" w:hAnsi="Times New Roman"/>
          <w:sz w:val="20"/>
          <w:szCs w:val="24"/>
          <w:lang w:val="it-IT"/>
        </w:rPr>
        <w:t>Figure 6</w:t>
      </w:r>
      <w:r w:rsidRPr="00131851">
        <w:rPr>
          <w:rFonts w:ascii="Times New Roman" w:hAnsi="Times New Roman"/>
          <w:sz w:val="20"/>
          <w:szCs w:val="24"/>
        </w:rPr>
        <w:t>) during the equilibrium state of low tide.</w:t>
      </w:r>
      <w:proofErr w:type="gramEnd"/>
      <w:r w:rsidRPr="00131851">
        <w:rPr>
          <w:rFonts w:ascii="Times New Roman" w:hAnsi="Times New Roman"/>
          <w:sz w:val="20"/>
          <w:szCs w:val="24"/>
        </w:rPr>
        <w:t xml:space="preserve"> (II) Oxygen profile patterns at the peak of the oxygenation event. (III) The duration of the oxygenation event, determined by the interval between the onset of high tide and the crossing of the (arbitrary) oxygen decline rate threshold, </w:t>
      </w:r>
      <w:proofErr w:type="gramStart"/>
      <w:r w:rsidRPr="00131851">
        <w:rPr>
          <w:rFonts w:ascii="Times New Roman" w:hAnsi="Times New Roman"/>
          <w:sz w:val="20"/>
          <w:szCs w:val="24"/>
        </w:rPr>
        <w:t xml:space="preserve">4.2 </w:t>
      </w:r>
      <w:r w:rsidRPr="00131851">
        <w:rPr>
          <w:rFonts w:ascii="Times New Roman" w:hAnsi="Times New Roman"/>
          <w:b/>
          <w:bCs/>
          <w:sz w:val="20"/>
          <w:szCs w:val="24"/>
        </w:rPr>
        <w:t xml:space="preserve"> </w:t>
      </w:r>
      <w:r w:rsidRPr="00131851">
        <w:rPr>
          <w:rFonts w:ascii="Times New Roman" w:hAnsi="Times New Roman"/>
          <w:sz w:val="20"/>
          <w:szCs w:val="24"/>
        </w:rPr>
        <w:t>O</w:t>
      </w:r>
      <w:r w:rsidRPr="00131851">
        <w:rPr>
          <w:rFonts w:ascii="Times New Roman" w:hAnsi="Times New Roman"/>
          <w:sz w:val="20"/>
          <w:szCs w:val="24"/>
          <w:vertAlign w:val="subscript"/>
        </w:rPr>
        <w:t>2</w:t>
      </w:r>
      <w:proofErr w:type="gramEnd"/>
      <w:r w:rsidRPr="00131851">
        <w:rPr>
          <w:rFonts w:ascii="Times New Roman" w:hAnsi="Times New Roman"/>
          <w:sz w:val="20"/>
          <w:szCs w:val="24"/>
          <w:vertAlign w:val="subscript"/>
        </w:rPr>
        <w:t xml:space="preserve"> </w:t>
      </w:r>
      <w:r w:rsidRPr="00131851">
        <w:rPr>
          <w:rFonts w:ascii="Times New Roman" w:hAnsi="Times New Roman"/>
          <w:sz w:val="20"/>
          <w:szCs w:val="24"/>
        </w:rPr>
        <w:t xml:space="preserve">sat. </w:t>
      </w:r>
      <w:proofErr w:type="gramStart"/>
      <w:r w:rsidRPr="00131851">
        <w:rPr>
          <w:rFonts w:ascii="Times New Roman" w:hAnsi="Times New Roman"/>
          <w:sz w:val="20"/>
          <w:szCs w:val="24"/>
        </w:rPr>
        <w:t>% cm</w:t>
      </w:r>
      <w:r w:rsidRPr="00131851">
        <w:rPr>
          <w:rFonts w:ascii="Times New Roman" w:hAnsi="Times New Roman"/>
          <w:sz w:val="20"/>
          <w:szCs w:val="24"/>
          <w:vertAlign w:val="superscript"/>
        </w:rPr>
        <w:t>-2</w:t>
      </w:r>
      <w:r w:rsidRPr="00131851">
        <w:rPr>
          <w:rFonts w:ascii="Times New Roman" w:hAnsi="Times New Roman"/>
          <w:sz w:val="20"/>
          <w:szCs w:val="24"/>
        </w:rPr>
        <w:t>.</w:t>
      </w:r>
      <w:proofErr w:type="gramEnd"/>
      <w:r w:rsidRPr="00131851">
        <w:rPr>
          <w:rFonts w:ascii="Times New Roman" w:hAnsi="Times New Roman"/>
          <w:sz w:val="20"/>
          <w:szCs w:val="24"/>
        </w:rPr>
        <w:t xml:space="preserve">  Letters within panels correspond to statistically significantly separate contrast groups (p &lt; 0.05).</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lastRenderedPageBreak/>
        <w:t>Figure S7:</w:t>
      </w:r>
      <w:r w:rsidRPr="00131851">
        <w:rPr>
          <w:rFonts w:ascii="Times New Roman" w:hAnsi="Times New Roman"/>
          <w:sz w:val="20"/>
          <w:szCs w:val="24"/>
        </w:rPr>
        <w:t xml:space="preserve"> The water content (%) of the sediment used in the first growth trials is displayed at depth in the sediment.</w:t>
      </w:r>
      <w:r w:rsidRPr="00131851">
        <w:rPr>
          <w:rFonts w:ascii="Times New Roman" w:hAnsi="Times New Roman"/>
          <w:b/>
          <w:bCs/>
          <w:sz w:val="20"/>
          <w:szCs w:val="24"/>
        </w:rPr>
        <w:t xml:space="preserve"> </w:t>
      </w:r>
      <w:r w:rsidRPr="00131851">
        <w:rPr>
          <w:rFonts w:ascii="Times New Roman" w:hAnsi="Times New Roman"/>
          <w:sz w:val="20"/>
          <w:szCs w:val="24"/>
        </w:rPr>
        <w:t xml:space="preserve">Sediment water content was measured in 1 cm segments along the entire length of the sediment column.  Colored </w:t>
      </w:r>
      <w:proofErr w:type="spellStart"/>
      <w:r w:rsidRPr="00131851">
        <w:rPr>
          <w:rFonts w:ascii="Times New Roman" w:hAnsi="Times New Roman"/>
          <w:sz w:val="20"/>
          <w:szCs w:val="24"/>
        </w:rPr>
        <w:t>bojxplots</w:t>
      </w:r>
      <w:proofErr w:type="spellEnd"/>
      <w:r w:rsidRPr="00131851">
        <w:rPr>
          <w:rFonts w:ascii="Times New Roman" w:hAnsi="Times New Roman"/>
          <w:sz w:val="20"/>
          <w:szCs w:val="24"/>
        </w:rPr>
        <w:t xml:space="preserve"> represent different sediment surface treatments (yellow: ‘lowered’, green: ‘flat’, but: ‘</w:t>
      </w:r>
      <w:proofErr w:type="gramStart"/>
      <w:r w:rsidRPr="00131851">
        <w:rPr>
          <w:rFonts w:ascii="Times New Roman" w:hAnsi="Times New Roman"/>
          <w:sz w:val="20"/>
          <w:szCs w:val="24"/>
        </w:rPr>
        <w:t>raised</w:t>
      </w:r>
      <w:proofErr w:type="gramEnd"/>
      <w:r w:rsidRPr="00131851">
        <w:rPr>
          <w:rFonts w:ascii="Times New Roman" w:hAnsi="Times New Roman"/>
          <w:sz w:val="20"/>
          <w:szCs w:val="24"/>
        </w:rPr>
        <w:t>’).  Sediment water content decreased rapidly over the first centimeter in all treatments but did not change significantly over the remainder of the sediment column (R</w:t>
      </w:r>
      <w:r w:rsidRPr="00131851">
        <w:rPr>
          <w:rFonts w:ascii="Times New Roman" w:hAnsi="Times New Roman"/>
          <w:sz w:val="20"/>
          <w:szCs w:val="24"/>
          <w:vertAlign w:val="superscript"/>
        </w:rPr>
        <w:t>2</w:t>
      </w:r>
      <w:r w:rsidRPr="00131851">
        <w:rPr>
          <w:rFonts w:ascii="Times New Roman" w:hAnsi="Times New Roman"/>
          <w:sz w:val="20"/>
          <w:szCs w:val="24"/>
        </w:rPr>
        <w:t xml:space="preserve"> = 0.020, </w:t>
      </w:r>
      <w:proofErr w:type="gramStart"/>
      <w:r w:rsidRPr="00131851">
        <w:rPr>
          <w:rFonts w:ascii="Times New Roman" w:hAnsi="Times New Roman"/>
          <w:sz w:val="20"/>
          <w:szCs w:val="24"/>
        </w:rPr>
        <w:t>n  =</w:t>
      </w:r>
      <w:proofErr w:type="gramEnd"/>
      <w:r w:rsidRPr="00131851">
        <w:rPr>
          <w:rFonts w:ascii="Times New Roman" w:hAnsi="Times New Roman"/>
          <w:sz w:val="20"/>
          <w:szCs w:val="24"/>
        </w:rPr>
        <w:t xml:space="preserve"> 159, p = 0.104). Lowered sediment surfaces are on average wetter in the upper depth layers likely due to the pooling of surface water (p &lt; 0.001, n = 38 for both raised-lowered and flat-lowered in depth layers 1 - 3), which can impact sediment consolidation. No significant differences between ‘flat’ and ‘raised’ sediment surfaces were detectable at any depth layer (Raised-flat: p = 0.418, n = 53 in depth layers 1 - 4).</w:t>
      </w:r>
    </w:p>
    <w:p w:rsidR="00486830" w:rsidRPr="00131851" w:rsidRDefault="00486830" w:rsidP="00486830">
      <w:pPr>
        <w:pStyle w:val="Default"/>
        <w:spacing w:after="140" w:line="480" w:lineRule="auto"/>
        <w:ind w:left="480" w:hanging="480"/>
        <w:rPr>
          <w:rFonts w:ascii="Times New Roman" w:eastAsia="Times New Roman" w:hAnsi="Times New Roman" w:cs="Times New Roman"/>
          <w:b/>
          <w:bCs/>
          <w:sz w:val="20"/>
          <w:szCs w:val="24"/>
        </w:rPr>
      </w:pPr>
      <w:r w:rsidRPr="00131851">
        <w:rPr>
          <w:rFonts w:ascii="Times New Roman" w:hAnsi="Times New Roman"/>
          <w:b/>
          <w:bCs/>
          <w:sz w:val="20"/>
          <w:szCs w:val="24"/>
        </w:rPr>
        <w:t xml:space="preserve">Figure S8: </w:t>
      </w:r>
      <w:r w:rsidRPr="00131851">
        <w:rPr>
          <w:rFonts w:ascii="Times New Roman" w:hAnsi="Times New Roman"/>
          <w:sz w:val="20"/>
          <w:szCs w:val="24"/>
        </w:rPr>
        <w:t>The water content (%) of the sediment used in the first growth trials is displayed against sediment topology treatments. Treatment groups within the blue box were unable to drain vertically. Flat and raised sediment treatments were statistically indistinguishable in water content (p = 0.144, n = 42). Water build-up in the sediment as a consequence of differences in vertical drainage occurred only in lowered sediment treatments (p &lt; 0.001, n = 42). There were no significant differences in the sediment water content between the various inundation duration treatments (p = 0.456, n = 42).</w:t>
      </w:r>
    </w:p>
    <w:p w:rsidR="00486830" w:rsidRPr="00131851" w:rsidRDefault="00486830" w:rsidP="00486830">
      <w:pPr>
        <w:pStyle w:val="Default"/>
        <w:spacing w:after="140" w:line="480" w:lineRule="auto"/>
        <w:ind w:left="480" w:hanging="480"/>
        <w:rPr>
          <w:rFonts w:ascii="Times New Roman" w:eastAsia="Times New Roman" w:hAnsi="Times New Roman" w:cs="Times New Roman"/>
          <w:sz w:val="20"/>
          <w:szCs w:val="24"/>
        </w:rPr>
      </w:pPr>
      <w:r w:rsidRPr="00131851">
        <w:rPr>
          <w:rFonts w:ascii="Times New Roman" w:hAnsi="Times New Roman"/>
          <w:b/>
          <w:bCs/>
          <w:sz w:val="20"/>
          <w:szCs w:val="24"/>
        </w:rPr>
        <w:t>Figure S9:</w:t>
      </w:r>
      <w:r w:rsidRPr="00131851">
        <w:rPr>
          <w:rFonts w:ascii="Times New Roman" w:hAnsi="Times New Roman"/>
          <w:sz w:val="20"/>
          <w:szCs w:val="24"/>
        </w:rPr>
        <w:t xml:space="preserve"> As seen also in Figure 7, this video displays a time series of oxygen profiles demonstrating a typical oxygenation event between the three sediment topology treatments in the three separate panels: lowered (a), flat (b), and raised (c). The video format allows for emphasis to be placed on differences in the event duration between sediment topologies. Within raised sediment surfaces the oxygenation event had a much greater duration  before returning to an equilibrium (3.6 ± 0.7 hours) as compared to flat (1.3 ± 0.3 hours) and lowered (0.5 ± 0.3) sediment treatments.</w:t>
      </w:r>
    </w:p>
    <w:p w:rsidR="002A2E53" w:rsidRDefault="002A2E53">
      <w:bookmarkStart w:id="0" w:name="_GoBack"/>
      <w:bookmarkEnd w:id="0"/>
    </w:p>
    <w:sectPr w:rsidR="002A2E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830"/>
    <w:rsid w:val="002A2E53"/>
    <w:rsid w:val="004868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83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8683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Coldwell</dc:creator>
  <cp:lastModifiedBy>Karen Coldwell</cp:lastModifiedBy>
  <cp:revision>1</cp:revision>
  <dcterms:created xsi:type="dcterms:W3CDTF">2019-08-08T19:54:00Z</dcterms:created>
  <dcterms:modified xsi:type="dcterms:W3CDTF">2019-08-08T19:55:00Z</dcterms:modified>
</cp:coreProperties>
</file>